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4"/>
      </w:pPr>
      <w:r>
        <w:t>湖南农业大学</w:t>
      </w:r>
    </w:p>
    <w:p>
      <w:pPr>
        <w:spacing w:before="0" w:line="552" w:lineRule="exact"/>
        <w:ind w:left="2079" w:right="2070" w:firstLine="0"/>
        <w:jc w:val="center"/>
        <w:rPr>
          <w:rFonts w:hint="eastAsia" w:ascii="黑体" w:eastAsia="黑体"/>
          <w:sz w:val="44"/>
        </w:rPr>
      </w:pPr>
      <w:r>
        <w:rPr>
          <w:rFonts w:hint="eastAsia" w:ascii="黑体" w:eastAsia="黑体"/>
          <w:sz w:val="44"/>
        </w:rPr>
        <w:t>硕士研究生定向</w:t>
      </w:r>
      <w:r>
        <w:rPr>
          <w:rFonts w:hint="eastAsia" w:ascii="黑体" w:eastAsia="黑体"/>
          <w:sz w:val="44"/>
          <w:lang w:val="en-US" w:eastAsia="zh-CN"/>
        </w:rPr>
        <w:t>就业</w:t>
      </w:r>
      <w:r>
        <w:rPr>
          <w:rFonts w:hint="eastAsia" w:ascii="黑体" w:eastAsia="黑体"/>
          <w:sz w:val="44"/>
        </w:rPr>
        <w:t>协议书</w:t>
      </w:r>
    </w:p>
    <w:p>
      <w:pPr>
        <w:pStyle w:val="3"/>
        <w:ind w:left="0"/>
        <w:rPr>
          <w:rFonts w:ascii="黑体"/>
          <w:sz w:val="42"/>
        </w:rPr>
      </w:pPr>
    </w:p>
    <w:p>
      <w:pPr>
        <w:pStyle w:val="3"/>
        <w:tabs>
          <w:tab w:val="left" w:pos="3640"/>
          <w:tab w:val="left" w:pos="6215"/>
        </w:tabs>
        <w:spacing w:line="292" w:lineRule="auto"/>
        <w:ind w:right="3248" w:firstLine="480" w:firstLineChars="200"/>
        <w:jc w:val="both"/>
        <w:rPr>
          <w:rFonts w:hint="eastAsia" w:ascii="黑体" w:eastAsia="黑体"/>
          <w:u w:val="single"/>
        </w:rPr>
      </w:pPr>
      <w:r>
        <w:rPr>
          <w:rFonts w:hint="eastAsia" w:ascii="黑体" w:eastAsia="黑体"/>
        </w:rPr>
        <w:t>甲方</w:t>
      </w:r>
      <w:r>
        <w:rPr>
          <w:rFonts w:hint="eastAsia" w:ascii="微软雅黑" w:eastAsia="微软雅黑"/>
        </w:rPr>
        <w:t>(培养单位)</w:t>
      </w:r>
      <w:r>
        <w:rPr>
          <w:rFonts w:hint="eastAsia" w:ascii="黑体" w:eastAsia="黑体"/>
        </w:rPr>
        <w:t>：</w:t>
      </w:r>
      <w:r>
        <w:rPr>
          <w:rFonts w:hint="eastAsia" w:ascii="黑体" w:eastAsia="黑体"/>
          <w:u w:val="single"/>
        </w:rPr>
        <w:t xml:space="preserve"> </w:t>
      </w:r>
      <w:r>
        <w:rPr>
          <w:rFonts w:hint="eastAsia" w:ascii="黑体" w:eastAsia="黑体"/>
          <w:u w:val="single"/>
        </w:rPr>
        <w:tab/>
      </w:r>
      <w:r>
        <w:rPr>
          <w:rFonts w:hint="eastAsia" w:ascii="黑体" w:eastAsia="黑体"/>
          <w:u w:val="single"/>
        </w:rPr>
        <w:t>湖南农业大</w:t>
      </w:r>
      <w:r>
        <w:rPr>
          <w:rFonts w:hint="eastAsia" w:ascii="黑体" w:eastAsia="黑体"/>
          <w:u w:val="single"/>
          <w:lang w:val="en-US" w:eastAsia="zh-CN"/>
        </w:rPr>
        <w:t xml:space="preserve">学  </w:t>
      </w:r>
      <w:r>
        <w:rPr>
          <w:rFonts w:hint="eastAsia" w:ascii="黑体" w:eastAsia="黑体"/>
          <w:u w:val="single"/>
        </w:rPr>
        <w:t xml:space="preserve">        </w:t>
      </w:r>
    </w:p>
    <w:p>
      <w:pPr>
        <w:pStyle w:val="3"/>
        <w:tabs>
          <w:tab w:val="left" w:pos="3640"/>
          <w:tab w:val="left" w:pos="6215"/>
        </w:tabs>
        <w:spacing w:line="292" w:lineRule="auto"/>
        <w:ind w:left="596" w:leftChars="271" w:right="3248" w:firstLine="0" w:firstLineChars="0"/>
        <w:jc w:val="both"/>
        <w:rPr>
          <w:rFonts w:ascii="Times New Roman" w:eastAsia="Times New Roman"/>
        </w:rPr>
      </w:pPr>
      <w:r>
        <w:rPr>
          <w:rFonts w:hint="eastAsia" w:ascii="黑体" w:eastAsia="黑体"/>
          <w:spacing w:val="-1"/>
        </w:rPr>
        <w:t>乙方</w:t>
      </w:r>
      <w:r>
        <w:rPr>
          <w:rFonts w:hint="eastAsia" w:ascii="微软雅黑" w:eastAsia="微软雅黑"/>
          <w:spacing w:val="-1"/>
        </w:rPr>
        <w:t>(</w:t>
      </w:r>
      <w:r>
        <w:rPr>
          <w:rFonts w:hint="eastAsia" w:ascii="微软雅黑" w:eastAsia="微软雅黑"/>
          <w:lang w:val="en-US" w:eastAsia="zh-CN"/>
        </w:rPr>
        <w:t>用人</w:t>
      </w:r>
      <w:r>
        <w:rPr>
          <w:rFonts w:hint="eastAsia" w:ascii="微软雅黑" w:eastAsia="微软雅黑"/>
        </w:rPr>
        <w:t>单位)</w:t>
      </w:r>
      <w:r>
        <w:rPr>
          <w:rFonts w:hint="eastAsia" w:ascii="黑体" w:eastAsia="黑体"/>
        </w:rPr>
        <w:t>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spacing w:val="-1"/>
          <w:u w:val="single"/>
        </w:rPr>
        <w:t xml:space="preserve">                             </w:t>
      </w:r>
      <w:r>
        <w:rPr>
          <w:rFonts w:ascii="Times New Roman" w:eastAsia="Times New Roman"/>
          <w:spacing w:val="29"/>
          <w:u w:val="single"/>
        </w:rPr>
        <w:t xml:space="preserve"> </w:t>
      </w:r>
      <w:r>
        <w:rPr>
          <w:rFonts w:hint="eastAsia" w:ascii="黑体" w:eastAsia="黑体"/>
          <w:spacing w:val="-1"/>
        </w:rPr>
        <w:t>丙方</w:t>
      </w:r>
      <w:r>
        <w:rPr>
          <w:rFonts w:hint="eastAsia" w:ascii="微软雅黑" w:eastAsia="微软雅黑"/>
          <w:spacing w:val="-1"/>
        </w:rPr>
        <w:t>(</w:t>
      </w:r>
      <w:r>
        <w:rPr>
          <w:rFonts w:hint="eastAsia" w:ascii="微软雅黑" w:eastAsia="微软雅黑"/>
        </w:rPr>
        <w:t>硕士</w:t>
      </w:r>
      <w:r>
        <w:rPr>
          <w:rFonts w:hint="eastAsia" w:ascii="微软雅黑" w:eastAsia="微软雅黑"/>
          <w:lang w:val="en-US" w:eastAsia="zh-CN"/>
        </w:rPr>
        <w:t>研究</w:t>
      </w:r>
      <w:r>
        <w:rPr>
          <w:rFonts w:hint="eastAsia" w:ascii="微软雅黑" w:eastAsia="微软雅黑"/>
        </w:rPr>
        <w:t>生)</w:t>
      </w:r>
      <w:r>
        <w:rPr>
          <w:rFonts w:hint="eastAsia" w:ascii="黑体" w:eastAsia="黑体"/>
        </w:rPr>
        <w:t>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</w:p>
    <w:p>
      <w:pPr>
        <w:pStyle w:val="3"/>
        <w:tabs>
          <w:tab w:val="left" w:pos="9288"/>
        </w:tabs>
        <w:spacing w:before="45" w:line="340" w:lineRule="auto"/>
        <w:ind w:right="103" w:firstLine="480" w:firstLineChars="200"/>
      </w:pPr>
      <w:r>
        <w:t>根据上级部门和我校相关规定</w:t>
      </w:r>
      <w:r>
        <w:rPr>
          <w:spacing w:val="-72"/>
        </w:rPr>
        <w:t>，</w:t>
      </w:r>
      <w:r>
        <w:t>就丙方</w:t>
      </w:r>
      <w:r>
        <w:rPr>
          <w:rFonts w:hint="eastAsia"/>
          <w:lang w:eastAsia="zh-CN"/>
        </w:rPr>
        <w:t>（</w:t>
      </w:r>
      <w:r>
        <w:t>身份证号</w:t>
      </w:r>
      <w:r>
        <w:rPr>
          <w:u w:val="single"/>
        </w:rPr>
        <w:t>：</w:t>
      </w:r>
      <w:r>
        <w:rPr>
          <w:u w:val="single"/>
        </w:rPr>
        <w:tab/>
      </w:r>
      <w:r>
        <w:rPr>
          <w:rFonts w:hint="eastAsia"/>
          <w:lang w:eastAsia="zh-CN"/>
        </w:rPr>
        <w:t>）</w:t>
      </w:r>
      <w:r>
        <w:t>攻读硕士研究生事宜，甲、乙、丙三方经协商达成如下协议：</w:t>
      </w:r>
    </w:p>
    <w:p>
      <w:pPr>
        <w:pStyle w:val="3"/>
        <w:tabs>
          <w:tab w:val="left" w:pos="5109"/>
          <w:tab w:val="left" w:pos="8950"/>
        </w:tabs>
        <w:spacing w:line="284" w:lineRule="exact"/>
        <w:ind w:left="598"/>
      </w:pPr>
      <w:r>
        <w:t>一</w:t>
      </w:r>
      <w:r>
        <w:rPr>
          <w:spacing w:val="-84"/>
        </w:rPr>
        <w:t>、</w:t>
      </w:r>
      <w:r>
        <w:t>甲</w:t>
      </w:r>
      <w:r>
        <w:rPr>
          <w:spacing w:val="-3"/>
        </w:rPr>
        <w:t>方</w:t>
      </w:r>
      <w:r>
        <w:t>拟招收丙方为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级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专</w:t>
      </w:r>
    </w:p>
    <w:p>
      <w:pPr>
        <w:pStyle w:val="3"/>
        <w:spacing w:before="39"/>
      </w:pPr>
      <w:r>
        <w:t>业定向</w:t>
      </w:r>
      <w:r>
        <w:rPr>
          <w:rFonts w:hint="eastAsia"/>
          <w:lang w:val="en-US" w:eastAsia="zh-CN"/>
        </w:rPr>
        <w:t>就业</w:t>
      </w:r>
      <w:r>
        <w:t>硕士研究生。</w:t>
      </w:r>
      <w:r>
        <w:rPr>
          <w:rFonts w:hint="eastAsia"/>
          <w:lang w:val="en-US" w:eastAsia="zh-CN"/>
        </w:rPr>
        <w:t>丙方毕业后回乙方，由乙方继续安排工作，具体事宜由乙丙双方商定</w:t>
      </w:r>
      <w:r>
        <w:rPr>
          <w:rFonts w:hint="eastAsia"/>
          <w:lang w:val="en-US" w:eastAsia="zh-Hans"/>
        </w:rPr>
        <w:t>。</w:t>
      </w:r>
    </w:p>
    <w:p>
      <w:pPr>
        <w:pStyle w:val="3"/>
        <w:spacing w:before="39" w:line="264" w:lineRule="auto"/>
        <w:ind w:right="153" w:firstLine="480"/>
      </w:pPr>
      <w:r>
        <w:t>二、丙方应在每学年开学后一个星期内向甲方缴纳学费。不能按时交清培养费者， 甲方将不予办理入学、注册、培养、答辩、毕业、申请学位等事宜。</w:t>
      </w:r>
    </w:p>
    <w:p>
      <w:pPr>
        <w:pStyle w:val="3"/>
        <w:spacing w:before="2" w:line="264" w:lineRule="auto"/>
        <w:ind w:left="598" w:right="275"/>
      </w:pPr>
      <w:r>
        <w:t>三、丙方在甲方学习期间，不需将户口、工资关系、人事档案从乙方转到甲方。</w:t>
      </w:r>
      <w:r>
        <w:rPr>
          <w:spacing w:val="-7"/>
        </w:rPr>
        <w:t>四、根据教育部及甲方奖助学金有关规定，丙方在甲方学习期间，不享受甲方提供</w:t>
      </w:r>
    </w:p>
    <w:p>
      <w:pPr>
        <w:pStyle w:val="3"/>
        <w:spacing w:before="2"/>
      </w:pPr>
      <w:r>
        <w:t>的助学金，不参加甲方各种奖学金及其他奖励性项目的评定。</w:t>
      </w:r>
    </w:p>
    <w:p>
      <w:pPr>
        <w:pStyle w:val="3"/>
        <w:spacing w:before="40" w:line="264" w:lineRule="auto"/>
        <w:ind w:right="273" w:firstLine="480"/>
        <w:jc w:val="both"/>
      </w:pPr>
      <w:r>
        <w:rPr>
          <w:spacing w:val="-7"/>
        </w:rPr>
        <w:t>五、甲方依据有关规定对丙方进行培养和管理。丙方应保证在校期间遵守国家法律</w:t>
      </w:r>
      <w:r>
        <w:rPr>
          <w:spacing w:val="-6"/>
        </w:rPr>
        <w:t>法规和校纪校规，并严格遵守学籍管理规定等各项规章制度，按时完成学业；保证毕业</w:t>
      </w:r>
      <w:r>
        <w:t>后直接回乙方工作。</w:t>
      </w:r>
    </w:p>
    <w:p>
      <w:pPr>
        <w:pStyle w:val="3"/>
        <w:spacing w:before="3" w:line="264" w:lineRule="auto"/>
        <w:ind w:right="273" w:firstLine="480"/>
      </w:pPr>
      <w:r>
        <w:t>六、丙方在校期间欲变动学籍</w:t>
      </w:r>
      <w:r>
        <w:rPr>
          <w:spacing w:val="2"/>
        </w:rPr>
        <w:t>（</w:t>
      </w:r>
      <w:r>
        <w:t>休学、延期毕业等</w:t>
      </w:r>
      <w:r>
        <w:rPr>
          <w:spacing w:val="-118"/>
        </w:rPr>
        <w:t>）</w:t>
      </w:r>
      <w:r>
        <w:t>，应与甲乙双方协商，经三方同意后由甲方依据有关规定处理。</w:t>
      </w:r>
    </w:p>
    <w:p>
      <w:pPr>
        <w:pStyle w:val="3"/>
        <w:spacing w:before="2" w:line="264" w:lineRule="auto"/>
        <w:ind w:left="598" w:right="945"/>
      </w:pPr>
      <w:r>
        <w:t xml:space="preserve">七、丙方如因违法违纪或学习成绩不合格而中断学业，本协议自动解除。 </w:t>
      </w:r>
      <w:r>
        <w:rPr>
          <w:spacing w:val="-1"/>
        </w:rPr>
        <w:t>八、乙方与丙方之间的相关事宜，依其双方协议处理，原则上不涉及甲方。</w:t>
      </w:r>
    </w:p>
    <w:p>
      <w:pPr>
        <w:pStyle w:val="3"/>
        <w:spacing w:before="2" w:line="264" w:lineRule="auto"/>
        <w:ind w:right="211" w:firstLine="480"/>
      </w:pPr>
      <w:r>
        <w:t>九、本协议书一式三份，经三方签章、且丙方取得正式学籍（注</w:t>
      </w:r>
      <w:bookmarkStart w:id="0" w:name="_GoBack"/>
      <w:bookmarkEnd w:id="0"/>
      <w:r>
        <w:t>册）后生效，培养方案规定的硕士研究生具体学制年限即为本协议书有效期限。</w:t>
      </w:r>
    </w:p>
    <w:p>
      <w:pPr>
        <w:pStyle w:val="3"/>
        <w:spacing w:before="9"/>
        <w:ind w:left="0"/>
        <w:rPr>
          <w:sz w:val="44"/>
        </w:rPr>
      </w:pPr>
    </w:p>
    <w:p>
      <w:pPr>
        <w:pStyle w:val="3"/>
        <w:tabs>
          <w:tab w:val="left" w:pos="4300"/>
          <w:tab w:val="left" w:pos="7541"/>
        </w:tabs>
        <w:ind w:left="699"/>
        <w:rPr>
          <w:rFonts w:hint="eastAsia" w:ascii="黑体" w:eastAsia="黑体"/>
        </w:rPr>
      </w:pPr>
      <w:r>
        <w:rPr>
          <w:rFonts w:hint="eastAsia" w:ascii="黑体" w:eastAsia="黑体"/>
        </w:rPr>
        <w:t>甲方单位公章：</w:t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>乙方单位公章：</w:t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>丙方签字：</w:t>
      </w:r>
    </w:p>
    <w:p>
      <w:pPr>
        <w:pStyle w:val="3"/>
        <w:tabs>
          <w:tab w:val="left" w:pos="4300"/>
        </w:tabs>
        <w:spacing w:before="53"/>
        <w:ind w:left="699"/>
        <w:rPr>
          <w:rFonts w:hint="eastAsia" w:ascii="黑体" w:eastAsia="黑体"/>
        </w:rPr>
      </w:pPr>
      <w:r>
        <w:rPr>
          <w:rFonts w:hint="eastAsia" w:ascii="黑体" w:eastAsia="黑体"/>
        </w:rPr>
        <w:t>甲方负责人签字：</w:t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>乙方负责人签字：</w:t>
      </w:r>
    </w:p>
    <w:p>
      <w:pPr>
        <w:pStyle w:val="3"/>
        <w:ind w:left="0"/>
        <w:rPr>
          <w:rFonts w:ascii="黑体"/>
        </w:rPr>
      </w:pPr>
    </w:p>
    <w:p>
      <w:pPr>
        <w:pStyle w:val="3"/>
        <w:ind w:left="0"/>
        <w:rPr>
          <w:rFonts w:ascii="黑体"/>
        </w:rPr>
      </w:pPr>
    </w:p>
    <w:p>
      <w:pPr>
        <w:pStyle w:val="3"/>
        <w:tabs>
          <w:tab w:val="left" w:pos="1659"/>
          <w:tab w:val="left" w:pos="2140"/>
          <w:tab w:val="left" w:pos="4780"/>
          <w:tab w:val="left" w:pos="5260"/>
          <w:tab w:val="left" w:pos="5740"/>
          <w:tab w:val="left" w:pos="7901"/>
          <w:tab w:val="left" w:pos="8381"/>
          <w:tab w:val="left" w:pos="8861"/>
        </w:tabs>
        <w:spacing w:before="157"/>
        <w:ind w:left="1179"/>
        <w:rPr>
          <w:rFonts w:hint="eastAsia" w:ascii="黑体" w:eastAsia="黑体"/>
        </w:rPr>
      </w:pPr>
      <w:r>
        <w:rPr>
          <w:rFonts w:hint="eastAsia" w:ascii="黑体" w:eastAsia="黑体"/>
        </w:rPr>
        <w:t>年</w:t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>月</w:t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>日</w:t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>年</w:t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>月</w:t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>日</w:t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>年</w:t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>月</w:t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>日</w:t>
      </w:r>
    </w:p>
    <w:sectPr>
      <w:type w:val="continuous"/>
      <w:pgSz w:w="11910" w:h="16840"/>
      <w:pgMar w:top="1400" w:right="1140" w:bottom="280" w:left="13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5E631A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华文中宋" w:hAnsi="华文中宋" w:eastAsia="华文中宋" w:cs="华文中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552" w:lineRule="exact"/>
      <w:ind w:left="2079" w:right="2067"/>
      <w:jc w:val="center"/>
      <w:outlineLvl w:val="1"/>
    </w:pPr>
    <w:rPr>
      <w:rFonts w:ascii="黑体" w:hAnsi="黑体" w:eastAsia="黑体" w:cs="黑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18"/>
    </w:pPr>
    <w:rPr>
      <w:rFonts w:ascii="华文中宋" w:hAnsi="华文中宋" w:eastAsia="华文中宋" w:cs="华文中宋"/>
      <w:sz w:val="24"/>
      <w:szCs w:val="24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620</Words>
  <Characters>620</Characters>
  <TotalTime>1</TotalTime>
  <ScaleCrop>false</ScaleCrop>
  <LinksUpToDate>false</LinksUpToDate>
  <CharactersWithSpaces>685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2022-04-25T07:50:00Z</dcterms:created>
  <dc:creator>鲍勇峰</dc:creator>
  <cp:lastModifiedBy>宋江南</cp:lastModifiedBy>
  <dcterms:modified xsi:type="dcterms:W3CDTF">2022-04-25T08:07:59Z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2020-06-08T00:00:00Z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2022-04-25T00:00:00Z</vt:filetime>
  </property>
  <property fmtid="{D5CDD505-2E9C-101B-9397-08002B2CF9AE}" pid="5" name="KSOProductBuildVer">
    <vt:lpwstr>2052-11.1.0.11636</vt:lpwstr>
  </property>
  <property fmtid="{D5CDD505-2E9C-101B-9397-08002B2CF9AE}" pid="6" name="ICV">
    <vt:lpwstr>2B6346E1F3B24102B8AC19A51B1B6658</vt:lpwstr>
  </property>
</Properties>
</file>